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11B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872E0"/>
          <w:spacing w:val="0"/>
          <w:sz w:val="45"/>
          <w:szCs w:val="45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45"/>
          <w:szCs w:val="45"/>
          <w:bdr w:val="none" w:color="auto" w:sz="0" w:space="0"/>
          <w14:textFill>
            <w14:solidFill>
              <w14:schemeClr w14:val="tx1"/>
            </w14:solidFill>
          </w14:textFill>
        </w:rPr>
        <w:t>罐体抛光机的安全操作规程</w:t>
      </w:r>
      <w:bookmarkEnd w:id="0"/>
    </w:p>
    <w:p w14:paraId="6FCEDB1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操作人员在上岗操作前必须接受针对此设备的培训包括安全操作、设备调校、品质辩别、工作纪律等；具体内容和实施由生产车间、班组负责。培训合格后经班长推荐及车间主管同意，才可正式操作此设备、准备工作和场地要求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9E78E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一、开机前检查：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4FC7DC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1、电源开关是否接触良好。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523624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2、机床上有无异物、螺栓、皮带、旋动联接是否有松动；送料、导向、抛光轮是否转动正常，各零部件是否清洁。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BB2C6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3、抛光轮的选择和各轮问距是否与待加工物料的规格、形状相符合。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4C44C3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4、对待加工物料进行检查：有无变形，较严重刮伤等现象。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5C4F2C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5、工作区域有无乱堆、乱放，有无安全隐患。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F82C42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6、保护措施，如打开排气扇、配带口罩、出料口方向不准站人等。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AECCF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二、开机操作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4DD122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首先开动送料轮，速度由慢到快调至转速表的绿色区域内，稳定运转3~5分钟表后，再缓慢调至慢速(左起2-4格)，放入物料观察物料在各轮间行进过程中是否保持直线运动状态，适当调节各轮与物料接触的松紧程度，用手转动抛光轮，检查圆周上各位置与物料接触的松紧程度并调至较轻接触状态，全部转轮调校好后开动抛光轮，运转达 3-5分钟，待机床运转平稳后给抛光轮打蜡此时开始放料加工。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35E72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注意：加工过程中，无论何时必须时刻注意观察物料抛光过程有无变形、烧伤、刮伤、亮度等问题。发现问题时应及时停机做相应的调校，当问题辨别不清楚或调校也不能解决问题时应及时上报车间等部门，寻求处理和解决方法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9F5840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三、关机后要求：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506AA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1、必须关停所有电源开关。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425A3D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2、扫除机床上和各零部件上的灰尘；清理好场地卫生；物料摆放整齐。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777A16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四、轮距调整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7C2A75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由于物料的规格和形状不相同，故需进行轮距的调整。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F0AA8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送料轮和导向轮的调整。每次调整应选择相同的一边进行，尽可能保持另一边的轮不动，以此确定每组轮的每次调整都能保证在同一直线上。每次调整应先松渐紧直至适合的松紧度。抛光轮此时应处于关闭状态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39F1FF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抛光轮的调整，每次调整前应根据物料的尺寸和形状选择相符的抛光轮进行更换，如不相符或已变形的，必须先将抛光轮修磨至与物料尺寸和形状相符才可以进行调整(修磨时只许用废料)，抛光轮的调整因受外经尺寸的变化影响，必须两个轮都做调整。每次调整先松后紧直到轻度接触而止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F161B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注意：不要改变物料行进的直线方向。抛光过程需经常给抛光轮打蜡，避免因表面粗糙降低抛光效果。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03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2026-03-13T06:51:08Z</dcterms:created>
  <dc:creator>Mt</dc:creator>
  <cp:lastModifiedBy>制药网阳阳</cp:lastModifiedBy>
  <dcterms:modified xsi:type="dcterms:W3CDTF">2026-03-13T06:51:45Z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8104DA03471144A6B49048AC314D44C6_12</vt:lpwstr>
  </property>
</Properties>
</file>